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1EA" w:rsidRPr="00A601EA" w:rsidRDefault="00A601EA" w:rsidP="00A601EA">
      <w:pPr>
        <w:pStyle w:val="Title"/>
        <w:pBdr>
          <w:top w:val="single" w:sz="4" w:space="1" w:color="auto"/>
          <w:left w:val="single" w:sz="4" w:space="4" w:color="auto"/>
          <w:bottom w:val="single" w:sz="4" w:space="1" w:color="auto"/>
          <w:right w:val="single" w:sz="4" w:space="4" w:color="auto"/>
        </w:pBdr>
        <w:spacing w:before="120" w:after="120" w:line="240" w:lineRule="auto"/>
        <w:rPr>
          <w:rFonts w:ascii="Helvetica" w:hAnsi="Helvetica"/>
          <w:b w:val="0"/>
          <w:bCs/>
          <w:i/>
          <w:iCs/>
          <w:sz w:val="20"/>
          <w:szCs w:val="20"/>
        </w:rPr>
      </w:pPr>
      <w:r w:rsidRPr="00A601EA">
        <w:rPr>
          <w:rFonts w:ascii="Helvetica" w:hAnsi="Helvetica"/>
          <w:b w:val="0"/>
          <w:bCs/>
          <w:i/>
          <w:iCs/>
          <w:sz w:val="20"/>
          <w:szCs w:val="20"/>
        </w:rPr>
        <w:t>YBMRS 2021 – abstract guidelines and template</w:t>
      </w:r>
    </w:p>
    <w:p w:rsidR="00A601EA" w:rsidRDefault="00A601EA" w:rsidP="00A601EA">
      <w:pPr>
        <w:pStyle w:val="Title"/>
        <w:spacing w:after="120" w:line="240" w:lineRule="auto"/>
        <w:jc w:val="left"/>
        <w:rPr>
          <w:rFonts w:ascii="Helvetica" w:hAnsi="Helvetica"/>
          <w:b w:val="0"/>
          <w:bCs/>
          <w:i/>
          <w:iCs/>
          <w:sz w:val="20"/>
          <w:szCs w:val="20"/>
          <w:u w:val="single"/>
        </w:rPr>
      </w:pPr>
    </w:p>
    <w:p w:rsidR="00514F19" w:rsidRPr="00A601EA" w:rsidRDefault="00514F19" w:rsidP="00A601EA">
      <w:pPr>
        <w:pStyle w:val="Title"/>
        <w:spacing w:after="120" w:line="240" w:lineRule="auto"/>
        <w:jc w:val="left"/>
        <w:rPr>
          <w:rFonts w:ascii="Helvetica" w:hAnsi="Helvetica"/>
          <w:b w:val="0"/>
          <w:bCs/>
          <w:iCs/>
          <w:sz w:val="20"/>
          <w:szCs w:val="20"/>
          <w:u w:val="single"/>
        </w:rPr>
      </w:pPr>
      <w:r w:rsidRPr="00A601EA">
        <w:rPr>
          <w:rFonts w:ascii="Helvetica" w:hAnsi="Helvetica"/>
          <w:b w:val="0"/>
          <w:bCs/>
          <w:iCs/>
          <w:sz w:val="20"/>
          <w:szCs w:val="20"/>
          <w:u w:val="single"/>
        </w:rPr>
        <w:t>General instructions</w:t>
      </w:r>
    </w:p>
    <w:p w:rsidR="00A601EA" w:rsidRPr="00A601EA" w:rsidRDefault="00514F19" w:rsidP="00A601EA">
      <w:pPr>
        <w:pStyle w:val="Title"/>
        <w:spacing w:after="120" w:line="240" w:lineRule="auto"/>
        <w:jc w:val="left"/>
        <w:rPr>
          <w:rFonts w:ascii="Helvetica" w:hAnsi="Helvetica"/>
          <w:b w:val="0"/>
          <w:sz w:val="20"/>
          <w:szCs w:val="20"/>
        </w:rPr>
      </w:pPr>
      <w:r w:rsidRPr="00A601EA">
        <w:rPr>
          <w:rFonts w:ascii="Helvetica" w:hAnsi="Helvetica"/>
          <w:b w:val="0"/>
          <w:sz w:val="20"/>
          <w:szCs w:val="20"/>
        </w:rPr>
        <w:t>Please find hereafter some guidelines for completing the Word document. Some cl</w:t>
      </w:r>
      <w:r w:rsidR="00A601EA" w:rsidRPr="00A601EA">
        <w:rPr>
          <w:rFonts w:ascii="Helvetica" w:hAnsi="Helvetica"/>
          <w:b w:val="0"/>
          <w:sz w:val="20"/>
          <w:szCs w:val="20"/>
        </w:rPr>
        <w:t xml:space="preserve">arifications are included below. </w:t>
      </w:r>
      <w:r w:rsidRPr="00A601EA">
        <w:rPr>
          <w:rFonts w:ascii="Helvetica" w:hAnsi="Helvetica"/>
          <w:b w:val="0"/>
          <w:sz w:val="20"/>
          <w:szCs w:val="20"/>
        </w:rPr>
        <w:t>Please do not change the template styles</w:t>
      </w:r>
      <w:r w:rsidR="00A601EA" w:rsidRPr="00A601EA">
        <w:rPr>
          <w:rFonts w:ascii="Helvetica" w:hAnsi="Helvetica"/>
          <w:b w:val="0"/>
          <w:sz w:val="20"/>
          <w:szCs w:val="20"/>
        </w:rPr>
        <w:t>.</w:t>
      </w:r>
    </w:p>
    <w:p w:rsidR="00A601EA" w:rsidRPr="00A601EA" w:rsidRDefault="00A601EA" w:rsidP="00A601EA">
      <w:pPr>
        <w:pStyle w:val="Title"/>
        <w:spacing w:after="120" w:line="240" w:lineRule="auto"/>
        <w:jc w:val="left"/>
        <w:rPr>
          <w:rFonts w:ascii="Helvetica" w:hAnsi="Helvetica"/>
          <w:b w:val="0"/>
          <w:bCs/>
          <w:sz w:val="20"/>
          <w:szCs w:val="20"/>
          <w:u w:val="single"/>
        </w:rPr>
      </w:pPr>
    </w:p>
    <w:p w:rsidR="00A601EA" w:rsidRPr="00A601EA" w:rsidRDefault="00514F19" w:rsidP="00A601EA">
      <w:pPr>
        <w:pStyle w:val="Title"/>
        <w:spacing w:after="120" w:line="240" w:lineRule="auto"/>
        <w:jc w:val="left"/>
        <w:rPr>
          <w:rFonts w:ascii="Helvetica" w:hAnsi="Helvetica"/>
          <w:b w:val="0"/>
          <w:bCs/>
          <w:sz w:val="20"/>
          <w:szCs w:val="20"/>
          <w:u w:val="single"/>
        </w:rPr>
      </w:pPr>
      <w:r w:rsidRPr="00A601EA">
        <w:rPr>
          <w:rFonts w:ascii="Helvetica" w:hAnsi="Helvetica"/>
          <w:b w:val="0"/>
          <w:bCs/>
          <w:sz w:val="20"/>
          <w:szCs w:val="20"/>
          <w:u w:val="single"/>
        </w:rPr>
        <w:t>Author section</w:t>
      </w:r>
    </w:p>
    <w:p w:rsidR="00A601EA" w:rsidRDefault="00514F19" w:rsidP="00A601EA">
      <w:pPr>
        <w:pStyle w:val="Title"/>
        <w:spacing w:after="120" w:line="240" w:lineRule="auto"/>
        <w:jc w:val="left"/>
        <w:rPr>
          <w:rFonts w:ascii="Helvetica" w:hAnsi="Helvetica"/>
          <w:b w:val="0"/>
          <w:sz w:val="20"/>
          <w:szCs w:val="20"/>
        </w:rPr>
      </w:pPr>
      <w:r w:rsidRPr="00A601EA">
        <w:rPr>
          <w:rFonts w:ascii="Helvetica" w:hAnsi="Helvetica"/>
          <w:b w:val="0"/>
          <w:sz w:val="20"/>
          <w:szCs w:val="20"/>
        </w:rPr>
        <w:t xml:space="preserve">The authors should be listed as shown, </w:t>
      </w:r>
      <w:r w:rsidRPr="00A601EA">
        <w:rPr>
          <w:rFonts w:ascii="Helvetica" w:hAnsi="Helvetica"/>
          <w:b w:val="0"/>
          <w:i/>
          <w:sz w:val="20"/>
          <w:szCs w:val="20"/>
        </w:rPr>
        <w:t>i.e.</w:t>
      </w:r>
      <w:r w:rsidRPr="00A601EA">
        <w:rPr>
          <w:rFonts w:ascii="Helvetica" w:hAnsi="Helvetica"/>
          <w:b w:val="0"/>
          <w:sz w:val="20"/>
          <w:szCs w:val="20"/>
        </w:rPr>
        <w:t xml:space="preserve"> initials of first name, followed by last name. The presenting author should be underlined.</w:t>
      </w:r>
      <w:r w:rsidR="00A601EA">
        <w:rPr>
          <w:rFonts w:ascii="Helvetica" w:hAnsi="Helvetica"/>
          <w:b w:val="0"/>
          <w:sz w:val="20"/>
          <w:szCs w:val="20"/>
        </w:rPr>
        <w:t xml:space="preserve"> </w:t>
      </w:r>
      <w:r w:rsidRPr="00A601EA">
        <w:rPr>
          <w:rFonts w:ascii="Helvetica" w:hAnsi="Helvetica"/>
          <w:b w:val="0"/>
          <w:sz w:val="20"/>
          <w:szCs w:val="20"/>
        </w:rPr>
        <w:t>When authors from various different laboratories contribute, the affiliation of each authors should be indicated using a</w:t>
      </w:r>
      <w:r w:rsidR="00A601EA">
        <w:rPr>
          <w:rFonts w:ascii="Helvetica" w:hAnsi="Helvetica"/>
          <w:b w:val="0"/>
          <w:sz w:val="20"/>
          <w:szCs w:val="20"/>
        </w:rPr>
        <w:t>n Arabic</w:t>
      </w:r>
      <w:r w:rsidRPr="00A601EA">
        <w:rPr>
          <w:rFonts w:ascii="Helvetica" w:hAnsi="Helvetica"/>
          <w:b w:val="0"/>
          <w:sz w:val="20"/>
          <w:szCs w:val="20"/>
        </w:rPr>
        <w:t xml:space="preserve"> number (1, 2,</w:t>
      </w:r>
      <w:r w:rsidR="00A601EA">
        <w:rPr>
          <w:rFonts w:ascii="Helvetica" w:hAnsi="Helvetica"/>
          <w:b w:val="0"/>
          <w:sz w:val="20"/>
          <w:szCs w:val="20"/>
        </w:rPr>
        <w:t xml:space="preserve"> </w:t>
      </w:r>
      <w:r w:rsidRPr="00A601EA">
        <w:rPr>
          <w:rFonts w:ascii="Helvetica" w:hAnsi="Helvetica"/>
          <w:b w:val="0"/>
          <w:sz w:val="20"/>
          <w:szCs w:val="20"/>
        </w:rPr>
        <w:t>...), each number appearing in front of the address details.</w:t>
      </w:r>
      <w:r w:rsidR="00A601EA">
        <w:rPr>
          <w:rFonts w:ascii="Helvetica" w:hAnsi="Helvetica"/>
          <w:b w:val="0"/>
          <w:sz w:val="20"/>
          <w:szCs w:val="20"/>
        </w:rPr>
        <w:t xml:space="preserve"> </w:t>
      </w:r>
    </w:p>
    <w:p w:rsidR="00A601EA" w:rsidRDefault="00A601EA" w:rsidP="00A601EA">
      <w:pPr>
        <w:pStyle w:val="Title"/>
        <w:spacing w:after="120" w:line="240" w:lineRule="auto"/>
        <w:jc w:val="left"/>
        <w:rPr>
          <w:rFonts w:ascii="Helvetica" w:hAnsi="Helvetica"/>
          <w:b w:val="0"/>
          <w:sz w:val="20"/>
          <w:szCs w:val="20"/>
        </w:rPr>
      </w:pPr>
    </w:p>
    <w:p w:rsidR="00A601EA" w:rsidRDefault="00514F19" w:rsidP="00A601EA">
      <w:pPr>
        <w:pStyle w:val="Title"/>
        <w:spacing w:after="120" w:line="240" w:lineRule="auto"/>
        <w:jc w:val="left"/>
        <w:rPr>
          <w:rFonts w:ascii="Helvetica" w:hAnsi="Helvetica"/>
          <w:b w:val="0"/>
          <w:bCs/>
          <w:sz w:val="20"/>
          <w:szCs w:val="20"/>
          <w:u w:val="single"/>
        </w:rPr>
      </w:pPr>
      <w:r w:rsidRPr="00A601EA">
        <w:rPr>
          <w:rFonts w:ascii="Helvetica" w:hAnsi="Helvetica"/>
          <w:b w:val="0"/>
          <w:bCs/>
          <w:sz w:val="20"/>
          <w:szCs w:val="20"/>
          <w:u w:val="single"/>
        </w:rPr>
        <w:t>Address section</w:t>
      </w:r>
    </w:p>
    <w:p w:rsidR="00A601EA" w:rsidRDefault="00514F19" w:rsidP="00A601EA">
      <w:pPr>
        <w:pStyle w:val="Title"/>
        <w:spacing w:after="120" w:line="240" w:lineRule="auto"/>
        <w:jc w:val="left"/>
        <w:rPr>
          <w:rFonts w:ascii="Helvetica" w:hAnsi="Helvetica"/>
          <w:b w:val="0"/>
          <w:sz w:val="20"/>
          <w:szCs w:val="20"/>
        </w:rPr>
      </w:pPr>
      <w:r w:rsidRPr="00A601EA">
        <w:rPr>
          <w:rFonts w:ascii="Helvetica" w:hAnsi="Helvetica"/>
          <w:b w:val="0"/>
          <w:sz w:val="20"/>
          <w:szCs w:val="20"/>
        </w:rPr>
        <w:t>No details should be given beyond the name of the unit and/or de</w:t>
      </w:r>
      <w:r w:rsidR="00A601EA">
        <w:rPr>
          <w:rFonts w:ascii="Helvetica" w:hAnsi="Helvetica"/>
          <w:b w:val="0"/>
          <w:sz w:val="20"/>
          <w:szCs w:val="20"/>
        </w:rPr>
        <w:t>partment, university name and city and</w:t>
      </w:r>
      <w:r w:rsidRPr="00A601EA">
        <w:rPr>
          <w:rFonts w:ascii="Helvetica" w:hAnsi="Helvetica"/>
          <w:b w:val="0"/>
          <w:sz w:val="20"/>
          <w:szCs w:val="20"/>
        </w:rPr>
        <w:t xml:space="preserve"> (if foreign</w:t>
      </w:r>
      <w:r w:rsidR="00A601EA">
        <w:rPr>
          <w:rFonts w:ascii="Helvetica" w:hAnsi="Helvetica"/>
          <w:b w:val="0"/>
          <w:sz w:val="20"/>
          <w:szCs w:val="20"/>
        </w:rPr>
        <w:t>, also</w:t>
      </w:r>
      <w:r w:rsidRPr="00A601EA">
        <w:rPr>
          <w:rFonts w:ascii="Helvetica" w:hAnsi="Helvetica"/>
          <w:b w:val="0"/>
          <w:sz w:val="20"/>
          <w:szCs w:val="20"/>
        </w:rPr>
        <w:t xml:space="preserve"> country).</w:t>
      </w:r>
      <w:r w:rsidR="00A601EA">
        <w:rPr>
          <w:rFonts w:ascii="Helvetica" w:hAnsi="Helvetica"/>
          <w:b w:val="0"/>
          <w:sz w:val="20"/>
          <w:szCs w:val="20"/>
        </w:rPr>
        <w:t xml:space="preserve"> </w:t>
      </w:r>
      <w:r w:rsidRPr="00A601EA">
        <w:rPr>
          <w:rFonts w:ascii="Helvetica" w:hAnsi="Helvetica"/>
          <w:b w:val="0"/>
          <w:sz w:val="20"/>
          <w:szCs w:val="20"/>
        </w:rPr>
        <w:t>Specific address details will be available from the list of attendees at the end of the symposium booklet.</w:t>
      </w:r>
      <w:r w:rsidR="00A601EA">
        <w:rPr>
          <w:rFonts w:ascii="Helvetica" w:hAnsi="Helvetica"/>
          <w:b w:val="0"/>
          <w:sz w:val="20"/>
          <w:szCs w:val="20"/>
        </w:rPr>
        <w:t xml:space="preserve"> </w:t>
      </w:r>
    </w:p>
    <w:p w:rsidR="00A601EA" w:rsidRDefault="00A601EA" w:rsidP="00A601EA">
      <w:pPr>
        <w:pStyle w:val="Title"/>
        <w:spacing w:after="120" w:line="240" w:lineRule="auto"/>
        <w:jc w:val="left"/>
        <w:rPr>
          <w:rFonts w:ascii="Helvetica" w:hAnsi="Helvetica"/>
          <w:b w:val="0"/>
          <w:sz w:val="20"/>
          <w:szCs w:val="20"/>
        </w:rPr>
      </w:pPr>
    </w:p>
    <w:p w:rsidR="00A601EA" w:rsidRDefault="00514F19" w:rsidP="00A601EA">
      <w:pPr>
        <w:pStyle w:val="Title"/>
        <w:spacing w:after="120" w:line="240" w:lineRule="auto"/>
        <w:jc w:val="left"/>
        <w:rPr>
          <w:rFonts w:ascii="Helvetica" w:hAnsi="Helvetica"/>
          <w:b w:val="0"/>
          <w:bCs/>
          <w:sz w:val="20"/>
          <w:szCs w:val="20"/>
          <w:u w:val="single"/>
        </w:rPr>
      </w:pPr>
      <w:r w:rsidRPr="00A601EA">
        <w:rPr>
          <w:rFonts w:ascii="Helvetica" w:hAnsi="Helvetica"/>
          <w:b w:val="0"/>
          <w:bCs/>
          <w:sz w:val="20"/>
          <w:szCs w:val="20"/>
          <w:u w:val="single"/>
        </w:rPr>
        <w:t xml:space="preserve">Abstract </w:t>
      </w:r>
      <w:r w:rsidR="00A601EA">
        <w:rPr>
          <w:rFonts w:ascii="Helvetica" w:hAnsi="Helvetica"/>
          <w:b w:val="0"/>
          <w:bCs/>
          <w:sz w:val="20"/>
          <w:szCs w:val="20"/>
          <w:u w:val="single"/>
        </w:rPr>
        <w:t>s</w:t>
      </w:r>
      <w:r w:rsidRPr="00A601EA">
        <w:rPr>
          <w:rFonts w:ascii="Helvetica" w:hAnsi="Helvetica"/>
          <w:b w:val="0"/>
          <w:bCs/>
          <w:sz w:val="20"/>
          <w:szCs w:val="20"/>
          <w:u w:val="single"/>
        </w:rPr>
        <w:t>ection</w:t>
      </w:r>
    </w:p>
    <w:p w:rsidR="00A601EA" w:rsidRDefault="00514F19" w:rsidP="00A601EA">
      <w:pPr>
        <w:pStyle w:val="Title"/>
        <w:spacing w:after="120" w:line="240" w:lineRule="auto"/>
        <w:jc w:val="left"/>
        <w:rPr>
          <w:rFonts w:ascii="Helvetica" w:hAnsi="Helvetica"/>
          <w:b w:val="0"/>
          <w:sz w:val="20"/>
          <w:szCs w:val="20"/>
        </w:rPr>
      </w:pPr>
      <w:r w:rsidRPr="00A601EA">
        <w:rPr>
          <w:rFonts w:ascii="Helvetica" w:hAnsi="Helvetica"/>
          <w:b w:val="0"/>
          <w:sz w:val="20"/>
          <w:szCs w:val="20"/>
        </w:rPr>
        <w:t>For oral communications, the abstract is limited to one page, with 1.15 line spacing. If necessary, the line spacing of the abstract section can be reduced to 1, to accommodate a more lengthy abstract. Note however that under no condition abstracts longer than one page can be accepted. The abstract may contain a figure if necessary.</w:t>
      </w:r>
    </w:p>
    <w:p w:rsidR="00A601EA" w:rsidRDefault="00A601EA" w:rsidP="00A601EA">
      <w:pPr>
        <w:pStyle w:val="Title"/>
        <w:spacing w:after="120" w:line="240" w:lineRule="auto"/>
        <w:jc w:val="left"/>
        <w:rPr>
          <w:rFonts w:ascii="Helvetica" w:hAnsi="Helvetica"/>
          <w:b w:val="0"/>
          <w:sz w:val="20"/>
          <w:szCs w:val="20"/>
        </w:rPr>
      </w:pPr>
    </w:p>
    <w:p w:rsidR="00A601EA" w:rsidRDefault="00514F19" w:rsidP="00A601EA">
      <w:pPr>
        <w:pStyle w:val="Title"/>
        <w:spacing w:after="120" w:line="240" w:lineRule="auto"/>
        <w:jc w:val="left"/>
        <w:rPr>
          <w:rFonts w:ascii="Helvetica" w:hAnsi="Helvetica"/>
          <w:b w:val="0"/>
          <w:bCs/>
          <w:sz w:val="20"/>
          <w:szCs w:val="20"/>
          <w:u w:val="single"/>
        </w:rPr>
      </w:pPr>
      <w:r w:rsidRPr="00A601EA">
        <w:rPr>
          <w:rFonts w:ascii="Helvetica" w:hAnsi="Helvetica"/>
          <w:b w:val="0"/>
          <w:bCs/>
          <w:sz w:val="20"/>
          <w:szCs w:val="20"/>
          <w:u w:val="single"/>
        </w:rPr>
        <w:t>References</w:t>
      </w:r>
    </w:p>
    <w:p w:rsidR="00A601EA" w:rsidRDefault="00514F19" w:rsidP="00A601EA">
      <w:pPr>
        <w:pStyle w:val="Title"/>
        <w:spacing w:after="120" w:line="240" w:lineRule="auto"/>
        <w:jc w:val="left"/>
        <w:rPr>
          <w:rFonts w:ascii="Helvetica" w:hAnsi="Helvetica"/>
          <w:b w:val="0"/>
          <w:sz w:val="20"/>
          <w:szCs w:val="20"/>
        </w:rPr>
      </w:pPr>
      <w:r w:rsidRPr="00A601EA">
        <w:rPr>
          <w:rFonts w:ascii="Helvetica" w:hAnsi="Helvetica"/>
          <w:b w:val="0"/>
          <w:sz w:val="20"/>
          <w:szCs w:val="20"/>
        </w:rPr>
        <w:t>References can be included in the text and listed after the abstract. Preferably, references should be limited (more references means less space for your abstract), and refer to either published work from the group itself, or general references</w:t>
      </w:r>
      <w:r w:rsidR="00A601EA">
        <w:rPr>
          <w:rFonts w:ascii="Helvetica" w:hAnsi="Helvetica"/>
          <w:b w:val="0"/>
          <w:sz w:val="20"/>
          <w:szCs w:val="20"/>
        </w:rPr>
        <w:t xml:space="preserve"> </w:t>
      </w:r>
      <w:r w:rsidRPr="00A601EA">
        <w:rPr>
          <w:rFonts w:ascii="Helvetica" w:hAnsi="Helvetica"/>
          <w:b w:val="0"/>
          <w:sz w:val="20"/>
          <w:szCs w:val="20"/>
        </w:rPr>
        <w:t>/</w:t>
      </w:r>
      <w:r w:rsidR="00A601EA">
        <w:rPr>
          <w:rFonts w:ascii="Helvetica" w:hAnsi="Helvetica"/>
          <w:b w:val="0"/>
          <w:sz w:val="20"/>
          <w:szCs w:val="20"/>
        </w:rPr>
        <w:t xml:space="preserve"> </w:t>
      </w:r>
      <w:r w:rsidRPr="00A601EA">
        <w:rPr>
          <w:rFonts w:ascii="Helvetica" w:hAnsi="Helvetica"/>
          <w:b w:val="0"/>
          <w:sz w:val="20"/>
          <w:szCs w:val="20"/>
        </w:rPr>
        <w:t>reviews</w:t>
      </w:r>
      <w:r w:rsidR="00A601EA">
        <w:rPr>
          <w:rFonts w:ascii="Helvetica" w:hAnsi="Helvetica"/>
          <w:b w:val="0"/>
          <w:sz w:val="20"/>
          <w:szCs w:val="20"/>
        </w:rPr>
        <w:t>,</w:t>
      </w:r>
      <w:r w:rsidRPr="00A601EA">
        <w:rPr>
          <w:rFonts w:ascii="Helvetica" w:hAnsi="Helvetica"/>
          <w:b w:val="0"/>
          <w:sz w:val="20"/>
          <w:szCs w:val="20"/>
        </w:rPr>
        <w:t xml:space="preserve"> allowing the interested but non-specialist NMR reader to dig into the subject matter.</w:t>
      </w:r>
    </w:p>
    <w:p w:rsidR="00A601EA" w:rsidRDefault="00A601EA" w:rsidP="00A601EA">
      <w:pPr>
        <w:pStyle w:val="Title"/>
        <w:spacing w:after="120" w:line="240" w:lineRule="auto"/>
        <w:jc w:val="left"/>
        <w:rPr>
          <w:rFonts w:ascii="Helvetica" w:hAnsi="Helvetica"/>
          <w:b w:val="0"/>
          <w:sz w:val="20"/>
          <w:szCs w:val="20"/>
        </w:rPr>
      </w:pPr>
    </w:p>
    <w:p w:rsidR="00A601EA" w:rsidRDefault="00514F19" w:rsidP="00A601EA">
      <w:pPr>
        <w:pStyle w:val="Title"/>
        <w:spacing w:after="120" w:line="240" w:lineRule="auto"/>
        <w:jc w:val="left"/>
        <w:rPr>
          <w:rFonts w:ascii="Helvetica" w:hAnsi="Helvetica"/>
          <w:b w:val="0"/>
          <w:bCs/>
          <w:sz w:val="20"/>
          <w:szCs w:val="20"/>
          <w:u w:val="single"/>
        </w:rPr>
      </w:pPr>
      <w:r w:rsidRPr="00A601EA">
        <w:rPr>
          <w:rFonts w:ascii="Helvetica" w:hAnsi="Helvetica"/>
          <w:b w:val="0"/>
          <w:bCs/>
          <w:sz w:val="20"/>
          <w:szCs w:val="20"/>
          <w:u w:val="single"/>
        </w:rPr>
        <w:t>Figures</w:t>
      </w:r>
    </w:p>
    <w:p w:rsidR="00A601EA" w:rsidRDefault="00514F19" w:rsidP="00A601EA">
      <w:pPr>
        <w:pStyle w:val="Title"/>
        <w:spacing w:after="120" w:line="240" w:lineRule="auto"/>
        <w:jc w:val="left"/>
        <w:rPr>
          <w:rFonts w:ascii="Helvetica" w:hAnsi="Helvetica"/>
          <w:b w:val="0"/>
          <w:sz w:val="20"/>
          <w:szCs w:val="20"/>
        </w:rPr>
      </w:pPr>
      <w:r w:rsidRPr="00A601EA">
        <w:rPr>
          <w:rFonts w:ascii="Helvetica" w:hAnsi="Helvetica"/>
          <w:b w:val="0"/>
          <w:sz w:val="20"/>
          <w:szCs w:val="20"/>
        </w:rPr>
        <w:t>You may include a figure to illustrate the abstract if you wish to do so</w:t>
      </w:r>
      <w:r w:rsidR="00A601EA">
        <w:rPr>
          <w:rFonts w:ascii="Helvetica" w:hAnsi="Helvetica"/>
          <w:b w:val="0"/>
          <w:sz w:val="20"/>
          <w:szCs w:val="20"/>
        </w:rPr>
        <w:t xml:space="preserve">. </w:t>
      </w:r>
    </w:p>
    <w:p w:rsidR="00A601EA" w:rsidRDefault="00A601EA" w:rsidP="00A601EA">
      <w:pPr>
        <w:pStyle w:val="Title"/>
        <w:spacing w:after="120" w:line="240" w:lineRule="auto"/>
        <w:jc w:val="left"/>
        <w:rPr>
          <w:rFonts w:ascii="Helvetica" w:hAnsi="Helvetica"/>
          <w:b w:val="0"/>
          <w:sz w:val="20"/>
          <w:szCs w:val="20"/>
        </w:rPr>
      </w:pPr>
    </w:p>
    <w:p w:rsidR="00514F19" w:rsidRDefault="00514F19" w:rsidP="00A601EA">
      <w:pPr>
        <w:pStyle w:val="Title"/>
        <w:spacing w:after="120" w:line="240" w:lineRule="auto"/>
        <w:jc w:val="left"/>
        <w:rPr>
          <w:rFonts w:ascii="Helvetica" w:hAnsi="Helvetica"/>
          <w:b w:val="0"/>
          <w:sz w:val="20"/>
          <w:szCs w:val="20"/>
          <w:u w:val="single"/>
        </w:rPr>
      </w:pPr>
      <w:r w:rsidRPr="00A601EA">
        <w:rPr>
          <w:rFonts w:ascii="Helvetica" w:hAnsi="Helvetica"/>
          <w:b w:val="0"/>
          <w:sz w:val="20"/>
          <w:szCs w:val="20"/>
          <w:u w:val="single"/>
        </w:rPr>
        <w:t xml:space="preserve">Should you require further information, please do not hesitate to contact us at </w:t>
      </w:r>
      <w:hyperlink r:id="rId5" w:history="1">
        <w:r w:rsidR="00A601EA" w:rsidRPr="00A601EA">
          <w:rPr>
            <w:rStyle w:val="Hyperlink"/>
            <w:rFonts w:ascii="Helvetica" w:hAnsi="Helvetica"/>
            <w:b w:val="0"/>
            <w:sz w:val="20"/>
            <w:szCs w:val="20"/>
          </w:rPr>
          <w:t>info@ybmrs.be</w:t>
        </w:r>
      </w:hyperlink>
      <w:r w:rsidRPr="00A601EA">
        <w:rPr>
          <w:rFonts w:ascii="Helvetica" w:hAnsi="Helvetica"/>
          <w:b w:val="0"/>
          <w:sz w:val="20"/>
          <w:szCs w:val="20"/>
          <w:u w:val="single"/>
        </w:rPr>
        <w:t xml:space="preserve"> </w:t>
      </w:r>
    </w:p>
    <w:p w:rsidR="00A601EA" w:rsidRPr="00A601EA" w:rsidRDefault="00A601EA" w:rsidP="00A601EA">
      <w:pPr>
        <w:pStyle w:val="Title"/>
        <w:spacing w:after="120" w:line="240" w:lineRule="auto"/>
        <w:jc w:val="left"/>
        <w:rPr>
          <w:rFonts w:ascii="Helvetica" w:hAnsi="Helvetica"/>
          <w:b w:val="0"/>
          <w:sz w:val="20"/>
          <w:szCs w:val="20"/>
        </w:rPr>
      </w:pPr>
    </w:p>
    <w:p w:rsidR="004900AF" w:rsidRDefault="00514F19" w:rsidP="00A601EA">
      <w:pPr>
        <w:pStyle w:val="Title"/>
        <w:spacing w:after="120" w:line="276" w:lineRule="auto"/>
        <w:rPr>
          <w:rFonts w:ascii="Arial" w:hAnsi="Arial" w:cs="Arial"/>
          <w:sz w:val="24"/>
        </w:rPr>
      </w:pPr>
      <w:r>
        <w:rPr>
          <w:rFonts w:ascii="Arial" w:hAnsi="Arial" w:cs="Arial"/>
          <w:sz w:val="24"/>
        </w:rPr>
        <w:br w:type="page"/>
      </w:r>
      <w:r w:rsidR="004900AF">
        <w:rPr>
          <w:rFonts w:ascii="Arial" w:hAnsi="Arial" w:cs="Arial"/>
          <w:sz w:val="24"/>
        </w:rPr>
        <w:lastRenderedPageBreak/>
        <w:t xml:space="preserve">Liquid-solid interface characterization of </w:t>
      </w:r>
      <w:proofErr w:type="spellStart"/>
      <w:r w:rsidR="004900AF">
        <w:rPr>
          <w:rFonts w:ascii="Arial" w:hAnsi="Arial" w:cs="Arial"/>
          <w:sz w:val="24"/>
        </w:rPr>
        <w:t>organometals</w:t>
      </w:r>
      <w:proofErr w:type="spellEnd"/>
      <w:r w:rsidR="004900AF">
        <w:rPr>
          <w:rFonts w:ascii="Arial" w:hAnsi="Arial" w:cs="Arial"/>
          <w:sz w:val="24"/>
        </w:rPr>
        <w:t xml:space="preserve"> grafted to cross-linked polymers using high-resolution Magic Angle Spinning NMR spectroscopy</w:t>
      </w:r>
    </w:p>
    <w:p w:rsidR="004900AF" w:rsidRDefault="004900AF" w:rsidP="00A601EA">
      <w:pPr>
        <w:spacing w:after="120" w:line="276" w:lineRule="auto"/>
        <w:jc w:val="center"/>
        <w:rPr>
          <w:rFonts w:ascii="Arial" w:hAnsi="Arial" w:cs="Arial"/>
          <w:sz w:val="22"/>
          <w:vertAlign w:val="superscript"/>
          <w:lang w:val="nl-BE"/>
        </w:rPr>
      </w:pPr>
      <w:r>
        <w:rPr>
          <w:rFonts w:ascii="Arial" w:hAnsi="Arial" w:cs="Arial"/>
          <w:sz w:val="22"/>
          <w:u w:val="single"/>
          <w:lang w:val="nl-BE"/>
        </w:rPr>
        <w:t>J. C. Martins</w:t>
      </w:r>
      <w:r>
        <w:rPr>
          <w:rFonts w:ascii="Arial" w:hAnsi="Arial" w:cs="Arial"/>
          <w:sz w:val="22"/>
          <w:vertAlign w:val="superscript"/>
          <w:lang w:val="nl-BE"/>
        </w:rPr>
        <w:t>1</w:t>
      </w:r>
      <w:r>
        <w:rPr>
          <w:rFonts w:ascii="Arial" w:hAnsi="Arial" w:cs="Arial"/>
          <w:sz w:val="22"/>
          <w:lang w:val="nl-BE"/>
        </w:rPr>
        <w:t>, M. Biesemans</w:t>
      </w:r>
      <w:r>
        <w:rPr>
          <w:rFonts w:ascii="Arial" w:hAnsi="Arial" w:cs="Arial"/>
          <w:sz w:val="22"/>
          <w:vertAlign w:val="superscript"/>
          <w:lang w:val="nl-BE"/>
        </w:rPr>
        <w:t>2</w:t>
      </w:r>
      <w:r>
        <w:rPr>
          <w:rFonts w:ascii="Arial" w:hAnsi="Arial" w:cs="Arial"/>
          <w:sz w:val="22"/>
          <w:lang w:val="nl-BE"/>
        </w:rPr>
        <w:t>, F. A. G. Mercier</w:t>
      </w:r>
      <w:r>
        <w:rPr>
          <w:rFonts w:ascii="Arial" w:hAnsi="Arial" w:cs="Arial"/>
          <w:sz w:val="22"/>
          <w:vertAlign w:val="superscript"/>
          <w:lang w:val="nl-BE"/>
        </w:rPr>
        <w:t>2</w:t>
      </w:r>
      <w:r>
        <w:rPr>
          <w:rFonts w:ascii="Arial" w:hAnsi="Arial" w:cs="Arial"/>
          <w:sz w:val="22"/>
          <w:lang w:val="nl-BE"/>
        </w:rPr>
        <w:t>, I. Verbruggen</w:t>
      </w:r>
      <w:r>
        <w:rPr>
          <w:rFonts w:ascii="Arial" w:hAnsi="Arial" w:cs="Arial"/>
          <w:sz w:val="22"/>
          <w:vertAlign w:val="superscript"/>
          <w:lang w:val="nl-BE"/>
        </w:rPr>
        <w:t>2</w:t>
      </w:r>
      <w:r>
        <w:rPr>
          <w:rFonts w:ascii="Arial" w:hAnsi="Arial" w:cs="Arial"/>
          <w:sz w:val="22"/>
          <w:lang w:val="nl-BE"/>
        </w:rPr>
        <w:t>, R. Willem</w:t>
      </w:r>
      <w:r>
        <w:rPr>
          <w:rFonts w:ascii="Arial" w:hAnsi="Arial" w:cs="Arial"/>
          <w:sz w:val="22"/>
          <w:vertAlign w:val="superscript"/>
          <w:lang w:val="nl-BE"/>
        </w:rPr>
        <w:t>2</w:t>
      </w:r>
      <w:r>
        <w:rPr>
          <w:rFonts w:ascii="Arial" w:hAnsi="Arial" w:cs="Arial"/>
          <w:sz w:val="22"/>
          <w:lang w:val="nl-BE"/>
        </w:rPr>
        <w:t>, J.-M. Wieruszeski</w:t>
      </w:r>
      <w:r>
        <w:rPr>
          <w:rFonts w:ascii="Arial" w:hAnsi="Arial" w:cs="Arial"/>
          <w:sz w:val="22"/>
          <w:vertAlign w:val="superscript"/>
          <w:lang w:val="nl-BE"/>
        </w:rPr>
        <w:t>3</w:t>
      </w:r>
      <w:r>
        <w:rPr>
          <w:rFonts w:ascii="Arial" w:hAnsi="Arial" w:cs="Arial"/>
          <w:sz w:val="22"/>
          <w:lang w:val="nl-BE"/>
        </w:rPr>
        <w:t xml:space="preserve"> </w:t>
      </w:r>
      <w:proofErr w:type="spellStart"/>
      <w:r>
        <w:rPr>
          <w:rFonts w:ascii="Arial" w:hAnsi="Arial" w:cs="Arial"/>
          <w:sz w:val="22"/>
          <w:lang w:val="nl-BE"/>
        </w:rPr>
        <w:t>and</w:t>
      </w:r>
      <w:proofErr w:type="spellEnd"/>
      <w:r>
        <w:rPr>
          <w:rFonts w:ascii="Arial" w:hAnsi="Arial" w:cs="Arial"/>
          <w:sz w:val="22"/>
          <w:lang w:val="nl-BE"/>
        </w:rPr>
        <w:t xml:space="preserve"> G. Lippens</w:t>
      </w:r>
      <w:r>
        <w:rPr>
          <w:rFonts w:ascii="Arial" w:hAnsi="Arial" w:cs="Arial"/>
          <w:sz w:val="22"/>
          <w:vertAlign w:val="superscript"/>
          <w:lang w:val="nl-BE"/>
        </w:rPr>
        <w:t>3</w:t>
      </w:r>
    </w:p>
    <w:p w:rsidR="004900AF" w:rsidRDefault="004900AF" w:rsidP="00A601EA">
      <w:pPr>
        <w:spacing w:line="276" w:lineRule="auto"/>
        <w:rPr>
          <w:rFonts w:ascii="Arial" w:hAnsi="Arial" w:cs="Arial"/>
          <w:i/>
          <w:iCs/>
          <w:sz w:val="20"/>
          <w:lang w:val="nl-BE"/>
        </w:rPr>
      </w:pPr>
      <w:r>
        <w:rPr>
          <w:rFonts w:ascii="Arial" w:hAnsi="Arial" w:cs="Arial"/>
          <w:i/>
          <w:iCs/>
          <w:sz w:val="20"/>
          <w:vertAlign w:val="superscript"/>
          <w:lang w:val="nl-BE"/>
        </w:rPr>
        <w:t xml:space="preserve">1 </w:t>
      </w:r>
      <w:r>
        <w:rPr>
          <w:rFonts w:ascii="Arial" w:hAnsi="Arial" w:cs="Arial"/>
          <w:i/>
          <w:iCs/>
          <w:sz w:val="20"/>
          <w:lang w:val="nl-BE"/>
        </w:rPr>
        <w:t xml:space="preserve">NMR </w:t>
      </w:r>
      <w:proofErr w:type="spellStart"/>
      <w:r>
        <w:rPr>
          <w:rFonts w:ascii="Arial" w:hAnsi="Arial" w:cs="Arial"/>
          <w:i/>
          <w:iCs/>
          <w:sz w:val="20"/>
          <w:lang w:val="nl-BE"/>
        </w:rPr>
        <w:t>and</w:t>
      </w:r>
      <w:proofErr w:type="spellEnd"/>
      <w:r>
        <w:rPr>
          <w:rFonts w:ascii="Arial" w:hAnsi="Arial" w:cs="Arial"/>
          <w:i/>
          <w:iCs/>
          <w:sz w:val="20"/>
          <w:lang w:val="nl-BE"/>
        </w:rPr>
        <w:t xml:space="preserve"> </w:t>
      </w:r>
      <w:proofErr w:type="spellStart"/>
      <w:r>
        <w:rPr>
          <w:rFonts w:ascii="Arial" w:hAnsi="Arial" w:cs="Arial"/>
          <w:i/>
          <w:iCs/>
          <w:sz w:val="20"/>
          <w:lang w:val="nl-BE"/>
        </w:rPr>
        <w:t>Structure</w:t>
      </w:r>
      <w:proofErr w:type="spellEnd"/>
      <w:r>
        <w:rPr>
          <w:rFonts w:ascii="Arial" w:hAnsi="Arial" w:cs="Arial"/>
          <w:i/>
          <w:iCs/>
          <w:sz w:val="20"/>
          <w:lang w:val="nl-BE"/>
        </w:rPr>
        <w:t xml:space="preserve"> Analysis Unit, Vakgroep Organische Chemie, Universiteit Gent</w:t>
      </w:r>
    </w:p>
    <w:p w:rsidR="004900AF" w:rsidRDefault="004900AF" w:rsidP="00A601EA">
      <w:pPr>
        <w:spacing w:line="276" w:lineRule="auto"/>
        <w:jc w:val="both"/>
        <w:rPr>
          <w:rFonts w:ascii="Arial" w:hAnsi="Arial" w:cs="Arial"/>
          <w:i/>
          <w:iCs/>
          <w:sz w:val="20"/>
          <w:lang w:val="nl-BE"/>
        </w:rPr>
      </w:pPr>
      <w:r>
        <w:rPr>
          <w:rFonts w:ascii="Arial" w:hAnsi="Arial" w:cs="Arial"/>
          <w:i/>
          <w:iCs/>
          <w:sz w:val="20"/>
          <w:vertAlign w:val="superscript"/>
          <w:lang w:val="nl-BE"/>
        </w:rPr>
        <w:t>2</w:t>
      </w:r>
      <w:r>
        <w:rPr>
          <w:rFonts w:ascii="Arial" w:hAnsi="Arial" w:cs="Arial"/>
          <w:i/>
          <w:iCs/>
          <w:sz w:val="20"/>
          <w:lang w:val="nl-BE"/>
        </w:rPr>
        <w:t xml:space="preserve"> HNMR Centre </w:t>
      </w:r>
      <w:proofErr w:type="spellStart"/>
      <w:r>
        <w:rPr>
          <w:rFonts w:ascii="Arial" w:hAnsi="Arial" w:cs="Arial"/>
          <w:i/>
          <w:iCs/>
          <w:sz w:val="20"/>
          <w:lang w:val="nl-BE"/>
        </w:rPr>
        <w:t>and</w:t>
      </w:r>
      <w:proofErr w:type="spellEnd"/>
      <w:r>
        <w:rPr>
          <w:rFonts w:ascii="Arial" w:hAnsi="Arial" w:cs="Arial"/>
          <w:i/>
          <w:iCs/>
          <w:sz w:val="20"/>
          <w:lang w:val="nl-BE"/>
        </w:rPr>
        <w:t xml:space="preserve"> POSC, Vrije Universiteit Brussel.</w:t>
      </w:r>
    </w:p>
    <w:p w:rsidR="004900AF" w:rsidRDefault="004900AF" w:rsidP="00A601EA">
      <w:pPr>
        <w:spacing w:line="276" w:lineRule="auto"/>
        <w:jc w:val="both"/>
        <w:rPr>
          <w:rFonts w:ascii="Arial" w:hAnsi="Arial" w:cs="Arial"/>
          <w:i/>
          <w:iCs/>
          <w:sz w:val="20"/>
          <w:lang w:val="nl-BE"/>
        </w:rPr>
      </w:pPr>
      <w:r>
        <w:rPr>
          <w:rFonts w:ascii="Arial" w:hAnsi="Arial" w:cs="Arial"/>
          <w:i/>
          <w:iCs/>
          <w:sz w:val="20"/>
          <w:vertAlign w:val="superscript"/>
          <w:lang w:val="nl-BE"/>
        </w:rPr>
        <w:t>3</w:t>
      </w:r>
      <w:r>
        <w:rPr>
          <w:rFonts w:ascii="Arial" w:hAnsi="Arial" w:cs="Arial"/>
          <w:i/>
          <w:iCs/>
          <w:sz w:val="20"/>
          <w:lang w:val="nl-BE"/>
        </w:rPr>
        <w:t xml:space="preserve"> UMR 8525, </w:t>
      </w:r>
      <w:proofErr w:type="spellStart"/>
      <w:r>
        <w:rPr>
          <w:rFonts w:ascii="Arial" w:hAnsi="Arial" w:cs="Arial"/>
          <w:i/>
          <w:iCs/>
          <w:sz w:val="20"/>
          <w:lang w:val="nl-BE"/>
        </w:rPr>
        <w:t>Laboratoire</w:t>
      </w:r>
      <w:proofErr w:type="spellEnd"/>
      <w:r>
        <w:rPr>
          <w:rFonts w:ascii="Arial" w:hAnsi="Arial" w:cs="Arial"/>
          <w:i/>
          <w:iCs/>
          <w:sz w:val="20"/>
          <w:lang w:val="nl-BE"/>
        </w:rPr>
        <w:t xml:space="preserve"> RMN, </w:t>
      </w:r>
      <w:proofErr w:type="spellStart"/>
      <w:r>
        <w:rPr>
          <w:rFonts w:ascii="Arial" w:hAnsi="Arial" w:cs="Arial"/>
          <w:i/>
          <w:iCs/>
          <w:sz w:val="20"/>
          <w:lang w:val="nl-BE"/>
        </w:rPr>
        <w:t>Institut</w:t>
      </w:r>
      <w:proofErr w:type="spellEnd"/>
      <w:r>
        <w:rPr>
          <w:rFonts w:ascii="Arial" w:hAnsi="Arial" w:cs="Arial"/>
          <w:i/>
          <w:iCs/>
          <w:sz w:val="20"/>
          <w:lang w:val="nl-BE"/>
        </w:rPr>
        <w:t xml:space="preserve"> </w:t>
      </w:r>
      <w:proofErr w:type="spellStart"/>
      <w:r>
        <w:rPr>
          <w:rFonts w:ascii="Arial" w:hAnsi="Arial" w:cs="Arial"/>
          <w:i/>
          <w:iCs/>
          <w:sz w:val="20"/>
          <w:lang w:val="nl-BE"/>
        </w:rPr>
        <w:t>Pasteur</w:t>
      </w:r>
      <w:proofErr w:type="spellEnd"/>
      <w:r>
        <w:rPr>
          <w:rFonts w:ascii="Arial" w:hAnsi="Arial" w:cs="Arial"/>
          <w:i/>
          <w:iCs/>
          <w:sz w:val="20"/>
          <w:lang w:val="nl-BE"/>
        </w:rPr>
        <w:t xml:space="preserve"> et </w:t>
      </w:r>
      <w:proofErr w:type="spellStart"/>
      <w:r>
        <w:rPr>
          <w:rFonts w:ascii="Arial" w:hAnsi="Arial" w:cs="Arial"/>
          <w:i/>
          <w:iCs/>
          <w:sz w:val="20"/>
          <w:lang w:val="nl-BE"/>
        </w:rPr>
        <w:t>Institut</w:t>
      </w:r>
      <w:proofErr w:type="spellEnd"/>
      <w:r>
        <w:rPr>
          <w:rFonts w:ascii="Arial" w:hAnsi="Arial" w:cs="Arial"/>
          <w:i/>
          <w:iCs/>
          <w:sz w:val="20"/>
          <w:lang w:val="nl-BE"/>
        </w:rPr>
        <w:t xml:space="preserve"> de Biologie de Lille, France.</w:t>
      </w:r>
    </w:p>
    <w:p w:rsidR="004900AF" w:rsidRDefault="004900AF" w:rsidP="00A601EA">
      <w:pPr>
        <w:spacing w:line="276" w:lineRule="auto"/>
        <w:rPr>
          <w:lang w:val="nl-BE"/>
        </w:rPr>
      </w:pPr>
    </w:p>
    <w:p w:rsidR="004900AF" w:rsidRDefault="004900AF" w:rsidP="00A601EA">
      <w:pPr>
        <w:spacing w:line="276" w:lineRule="auto"/>
        <w:jc w:val="both"/>
        <w:rPr>
          <w:rFonts w:ascii="Arial" w:hAnsi="Arial" w:cs="Arial"/>
          <w:sz w:val="22"/>
        </w:rPr>
      </w:pPr>
      <w:r>
        <w:rPr>
          <w:rFonts w:ascii="Arial" w:hAnsi="Arial" w:cs="Arial"/>
          <w:sz w:val="22"/>
        </w:rPr>
        <w:t xml:space="preserve">The structural characterization of organotin compounds that are grafted on insoluble cross-linked polymers has necessarily been limited to elemental analysis, infra-red spectroscopy and, in a few instances, solid state NMR spectroscopy. This has been an important bottleneck in the development of such systems, intended for use as </w:t>
      </w:r>
      <w:proofErr w:type="spellStart"/>
      <w:r>
        <w:rPr>
          <w:rFonts w:ascii="Arial" w:hAnsi="Arial" w:cs="Arial"/>
          <w:sz w:val="22"/>
        </w:rPr>
        <w:t>heteregeneous</w:t>
      </w:r>
      <w:proofErr w:type="spellEnd"/>
      <w:r>
        <w:rPr>
          <w:rFonts w:ascii="Arial" w:hAnsi="Arial" w:cs="Arial"/>
          <w:sz w:val="22"/>
        </w:rPr>
        <w:t xml:space="preserve"> catalysts, or as functionalised polymers for application in organic chemistry. We have addressed this problem with high-resolution magic angle spinning (hr-MAS) NMR spectroscopy. This technique borrows the </w:t>
      </w:r>
      <w:r>
        <w:rPr>
          <w:rFonts w:ascii="Arial" w:hAnsi="Arial" w:cs="Arial"/>
          <w:i/>
          <w:iCs/>
          <w:sz w:val="22"/>
        </w:rPr>
        <w:t xml:space="preserve">magic angle spinning </w:t>
      </w:r>
      <w:r>
        <w:rPr>
          <w:rFonts w:ascii="Arial" w:hAnsi="Arial" w:cs="Arial"/>
          <w:sz w:val="22"/>
        </w:rPr>
        <w:t>technique, well-known from solid-state NMR, to narrow down resonance lines to nearly liquid like line-widths, such that 1D and 2D high resolution NMR spectra may be applied for the detailed structure elucidation of the grafted compound in the solvent swollen polymer matrix.</w:t>
      </w:r>
    </w:p>
    <w:p w:rsidR="004900AF" w:rsidRDefault="004900AF" w:rsidP="00A601EA">
      <w:pPr>
        <w:spacing w:line="276" w:lineRule="auto"/>
        <w:jc w:val="both"/>
        <w:rPr>
          <w:rFonts w:ascii="Arial" w:hAnsi="Arial" w:cs="Arial"/>
          <w:sz w:val="22"/>
        </w:rPr>
      </w:pPr>
      <w:r>
        <w:rPr>
          <w:rFonts w:ascii="Arial" w:hAnsi="Arial" w:cs="Arial"/>
          <w:sz w:val="22"/>
        </w:rPr>
        <w:t xml:space="preserve">The potential of this technique is demonstrated through the structural characterisation of various </w:t>
      </w:r>
      <w:proofErr w:type="spellStart"/>
      <w:r>
        <w:rPr>
          <w:rFonts w:ascii="Arial" w:hAnsi="Arial" w:cs="Arial"/>
          <w:sz w:val="22"/>
        </w:rPr>
        <w:t>organotins</w:t>
      </w:r>
      <w:proofErr w:type="spellEnd"/>
      <w:r>
        <w:rPr>
          <w:rFonts w:ascii="Arial" w:hAnsi="Arial" w:cs="Arial"/>
          <w:sz w:val="22"/>
        </w:rPr>
        <w:t xml:space="preserve"> grafted on </w:t>
      </w:r>
      <w:proofErr w:type="spellStart"/>
      <w:r>
        <w:rPr>
          <w:rFonts w:ascii="Arial" w:hAnsi="Arial" w:cs="Arial"/>
          <w:sz w:val="22"/>
        </w:rPr>
        <w:t>divinylbenzene</w:t>
      </w:r>
      <w:proofErr w:type="spellEnd"/>
      <w:r>
        <w:rPr>
          <w:rFonts w:ascii="Arial" w:hAnsi="Arial" w:cs="Arial"/>
          <w:sz w:val="22"/>
        </w:rPr>
        <w:t xml:space="preserve"> cross-linked polystyrene by means of a suitable linker. Suitable conditions for the application of hr-MAS NMR spectroscopy were identified using the </w:t>
      </w:r>
      <w:r>
        <w:rPr>
          <w:rFonts w:ascii="Arial" w:hAnsi="Arial" w:cs="Arial"/>
          <w:sz w:val="22"/>
          <w:vertAlign w:val="superscript"/>
        </w:rPr>
        <w:t>1</w:t>
      </w:r>
      <w:r>
        <w:rPr>
          <w:rFonts w:ascii="Arial" w:hAnsi="Arial" w:cs="Arial"/>
          <w:sz w:val="22"/>
        </w:rPr>
        <w:t xml:space="preserve">H resonance line-widths of the grafted organotin moiety following swelling of the functionalised beads in 8 representative solvents. Following this, we used the presence of clearly identifiable tin coupling patterns in both the 1D </w:t>
      </w:r>
      <w:r>
        <w:rPr>
          <w:rFonts w:ascii="Arial" w:hAnsi="Arial" w:cs="Arial"/>
          <w:sz w:val="22"/>
          <w:vertAlign w:val="superscript"/>
        </w:rPr>
        <w:t>13</w:t>
      </w:r>
      <w:r>
        <w:rPr>
          <w:rFonts w:ascii="Arial" w:hAnsi="Arial" w:cs="Arial"/>
          <w:sz w:val="22"/>
        </w:rPr>
        <w:t xml:space="preserve">C and 2D </w:t>
      </w:r>
      <w:r>
        <w:rPr>
          <w:rFonts w:ascii="Arial" w:hAnsi="Arial" w:cs="Arial"/>
          <w:sz w:val="22"/>
          <w:vertAlign w:val="superscript"/>
        </w:rPr>
        <w:t>1</w:t>
      </w:r>
      <w:r>
        <w:rPr>
          <w:rFonts w:ascii="Arial" w:hAnsi="Arial" w:cs="Arial"/>
          <w:sz w:val="22"/>
        </w:rPr>
        <w:t>H-</w:t>
      </w:r>
      <w:r>
        <w:rPr>
          <w:rFonts w:ascii="Arial" w:hAnsi="Arial" w:cs="Arial"/>
          <w:sz w:val="22"/>
          <w:vertAlign w:val="superscript"/>
        </w:rPr>
        <w:t>13</w:t>
      </w:r>
      <w:r>
        <w:rPr>
          <w:rFonts w:ascii="Arial" w:hAnsi="Arial" w:cs="Arial"/>
          <w:sz w:val="22"/>
        </w:rPr>
        <w:t xml:space="preserve">C HSQC spectra, and the incorporation of </w:t>
      </w:r>
      <w:r>
        <w:rPr>
          <w:rFonts w:ascii="Arial" w:hAnsi="Arial" w:cs="Arial"/>
          <w:sz w:val="22"/>
          <w:vertAlign w:val="superscript"/>
        </w:rPr>
        <w:t>119</w:t>
      </w:r>
      <w:r>
        <w:rPr>
          <w:rFonts w:ascii="Arial" w:hAnsi="Arial" w:cs="Arial"/>
          <w:sz w:val="22"/>
        </w:rPr>
        <w:t xml:space="preserve">Sn chemical shift and connectivity information from hr-MAS 1D </w:t>
      </w:r>
      <w:r>
        <w:rPr>
          <w:rFonts w:ascii="Arial" w:hAnsi="Arial" w:cs="Arial"/>
          <w:sz w:val="22"/>
          <w:vertAlign w:val="superscript"/>
        </w:rPr>
        <w:t>119</w:t>
      </w:r>
      <w:r>
        <w:rPr>
          <w:rFonts w:ascii="Arial" w:hAnsi="Arial" w:cs="Arial"/>
          <w:sz w:val="22"/>
        </w:rPr>
        <w:t xml:space="preserve">Sn and 2D </w:t>
      </w:r>
      <w:r>
        <w:rPr>
          <w:rFonts w:ascii="Arial" w:hAnsi="Arial" w:cs="Arial"/>
          <w:sz w:val="22"/>
          <w:vertAlign w:val="superscript"/>
        </w:rPr>
        <w:t>1</w:t>
      </w:r>
      <w:r>
        <w:rPr>
          <w:rFonts w:ascii="Arial" w:hAnsi="Arial" w:cs="Arial"/>
          <w:sz w:val="22"/>
        </w:rPr>
        <w:t>H-</w:t>
      </w:r>
      <w:r>
        <w:rPr>
          <w:rFonts w:ascii="Arial" w:hAnsi="Arial" w:cs="Arial"/>
          <w:sz w:val="22"/>
          <w:vertAlign w:val="superscript"/>
        </w:rPr>
        <w:t>119</w:t>
      </w:r>
      <w:r>
        <w:rPr>
          <w:rFonts w:ascii="Arial" w:hAnsi="Arial" w:cs="Arial"/>
          <w:sz w:val="22"/>
        </w:rPr>
        <w:t xml:space="preserve">Sn HMQC spectra, to provide an unprecedented level of characterization of grafted </w:t>
      </w:r>
      <w:proofErr w:type="spellStart"/>
      <w:r>
        <w:rPr>
          <w:rFonts w:ascii="Arial" w:hAnsi="Arial" w:cs="Arial"/>
          <w:sz w:val="22"/>
        </w:rPr>
        <w:t>organotins</w:t>
      </w:r>
      <w:proofErr w:type="spellEnd"/>
      <w:r>
        <w:rPr>
          <w:rFonts w:ascii="Arial" w:hAnsi="Arial" w:cs="Arial"/>
          <w:sz w:val="22"/>
        </w:rPr>
        <w:t xml:space="preserve"> directly at the solid/liquid interface. In addition, the use of hr-MAS </w:t>
      </w:r>
      <w:r>
        <w:rPr>
          <w:rFonts w:ascii="Arial" w:hAnsi="Arial" w:cs="Arial"/>
          <w:sz w:val="22"/>
          <w:vertAlign w:val="superscript"/>
        </w:rPr>
        <w:t>119</w:t>
      </w:r>
      <w:r>
        <w:rPr>
          <w:rFonts w:ascii="Arial" w:hAnsi="Arial" w:cs="Arial"/>
          <w:sz w:val="22"/>
        </w:rPr>
        <w:t>Sn NMR for reaction monitoring, impurity detection and quantification and assessing coordination extension reveals its promising potential as a novel tool for investigating polymer grafted organotin compounds. The approach described here should be sufficiently general to be extended to a variety of other nuclei of interest in polymer supported organometallic chemistry.</w:t>
      </w:r>
    </w:p>
    <w:p w:rsidR="004900AF" w:rsidRDefault="004900AF" w:rsidP="00A601EA">
      <w:pPr>
        <w:spacing w:line="276" w:lineRule="auto"/>
        <w:rPr>
          <w:rFonts w:ascii="Arial" w:hAnsi="Arial" w:cs="Arial"/>
          <w:sz w:val="22"/>
        </w:rPr>
      </w:pPr>
    </w:p>
    <w:p w:rsidR="00A601EA" w:rsidRPr="00A601EA" w:rsidRDefault="00A601EA" w:rsidP="00A601EA">
      <w:pPr>
        <w:spacing w:line="276" w:lineRule="auto"/>
        <w:rPr>
          <w:rFonts w:ascii="Arial" w:hAnsi="Arial" w:cs="Arial"/>
          <w:sz w:val="22"/>
          <w:u w:val="single"/>
        </w:rPr>
      </w:pPr>
      <w:r w:rsidRPr="00A601EA">
        <w:rPr>
          <w:rFonts w:ascii="Arial" w:hAnsi="Arial" w:cs="Arial"/>
          <w:sz w:val="22"/>
          <w:u w:val="single"/>
        </w:rPr>
        <w:t>References</w:t>
      </w:r>
    </w:p>
    <w:p w:rsidR="004900AF" w:rsidRDefault="004900AF" w:rsidP="00A601EA">
      <w:pPr>
        <w:numPr>
          <w:ilvl w:val="0"/>
          <w:numId w:val="1"/>
        </w:numPr>
        <w:tabs>
          <w:tab w:val="clear" w:pos="720"/>
          <w:tab w:val="num" w:pos="378"/>
        </w:tabs>
        <w:spacing w:line="276" w:lineRule="auto"/>
        <w:ind w:left="392" w:hanging="406"/>
        <w:rPr>
          <w:rFonts w:ascii="Arial" w:hAnsi="Arial" w:cs="Arial"/>
          <w:sz w:val="20"/>
        </w:rPr>
      </w:pPr>
      <w:proofErr w:type="spellStart"/>
      <w:r>
        <w:rPr>
          <w:rFonts w:ascii="Arial" w:hAnsi="Arial" w:cs="Arial"/>
          <w:sz w:val="20"/>
        </w:rPr>
        <w:t>Aaa</w:t>
      </w:r>
      <w:proofErr w:type="spellEnd"/>
      <w:r>
        <w:rPr>
          <w:rFonts w:ascii="Arial" w:hAnsi="Arial" w:cs="Arial"/>
          <w:sz w:val="20"/>
        </w:rPr>
        <w:t xml:space="preserve">, A., </w:t>
      </w:r>
      <w:proofErr w:type="spellStart"/>
      <w:r>
        <w:rPr>
          <w:rFonts w:ascii="Arial" w:hAnsi="Arial" w:cs="Arial"/>
          <w:sz w:val="20"/>
        </w:rPr>
        <w:t>Bbb</w:t>
      </w:r>
      <w:proofErr w:type="spellEnd"/>
      <w:r>
        <w:rPr>
          <w:rFonts w:ascii="Arial" w:hAnsi="Arial" w:cs="Arial"/>
          <w:sz w:val="20"/>
        </w:rPr>
        <w:t xml:space="preserve">, B., </w:t>
      </w:r>
      <w:proofErr w:type="spellStart"/>
      <w:r>
        <w:rPr>
          <w:rFonts w:ascii="Arial" w:hAnsi="Arial" w:cs="Arial"/>
          <w:sz w:val="20"/>
        </w:rPr>
        <w:t>Ccc</w:t>
      </w:r>
      <w:proofErr w:type="spellEnd"/>
      <w:r>
        <w:rPr>
          <w:rFonts w:ascii="Arial" w:hAnsi="Arial" w:cs="Arial"/>
          <w:sz w:val="20"/>
        </w:rPr>
        <w:t xml:space="preserve">, C. and </w:t>
      </w:r>
      <w:proofErr w:type="spellStart"/>
      <w:r>
        <w:rPr>
          <w:rFonts w:ascii="Arial" w:hAnsi="Arial" w:cs="Arial"/>
          <w:sz w:val="20"/>
        </w:rPr>
        <w:t>Zzz</w:t>
      </w:r>
      <w:proofErr w:type="spellEnd"/>
      <w:r>
        <w:rPr>
          <w:rFonts w:ascii="Arial" w:hAnsi="Arial" w:cs="Arial"/>
          <w:sz w:val="20"/>
        </w:rPr>
        <w:t xml:space="preserve">, X. Y. </w:t>
      </w:r>
      <w:r>
        <w:rPr>
          <w:rFonts w:ascii="Arial" w:hAnsi="Arial" w:cs="Arial"/>
          <w:i/>
          <w:iCs/>
          <w:sz w:val="20"/>
        </w:rPr>
        <w:t>J. Am. Chem. Soc.</w:t>
      </w:r>
      <w:r>
        <w:rPr>
          <w:rFonts w:ascii="Arial" w:hAnsi="Arial" w:cs="Arial"/>
          <w:sz w:val="20"/>
        </w:rPr>
        <w:t xml:space="preserve"> 2000, </w:t>
      </w:r>
      <w:r>
        <w:rPr>
          <w:rFonts w:ascii="Arial" w:hAnsi="Arial" w:cs="Arial"/>
          <w:b/>
          <w:bCs/>
          <w:sz w:val="20"/>
        </w:rPr>
        <w:t>115</w:t>
      </w:r>
      <w:r>
        <w:rPr>
          <w:rFonts w:ascii="Arial" w:hAnsi="Arial" w:cs="Arial"/>
          <w:sz w:val="20"/>
        </w:rPr>
        <w:t xml:space="preserve">, </w:t>
      </w:r>
      <w:r w:rsidR="006338AD">
        <w:rPr>
          <w:rFonts w:ascii="Arial" w:hAnsi="Arial" w:cs="Arial"/>
          <w:sz w:val="20"/>
        </w:rPr>
        <w:t>0123</w:t>
      </w:r>
      <w:r>
        <w:rPr>
          <w:rFonts w:ascii="Arial" w:hAnsi="Arial" w:cs="Arial"/>
          <w:sz w:val="20"/>
        </w:rPr>
        <w:t>-</w:t>
      </w:r>
      <w:r w:rsidR="006338AD">
        <w:rPr>
          <w:rFonts w:ascii="Arial" w:hAnsi="Arial" w:cs="Arial"/>
          <w:sz w:val="20"/>
        </w:rPr>
        <w:t>4567</w:t>
      </w:r>
      <w:r>
        <w:rPr>
          <w:rFonts w:ascii="Arial" w:hAnsi="Arial" w:cs="Arial"/>
          <w:sz w:val="20"/>
        </w:rPr>
        <w:t>.</w:t>
      </w:r>
    </w:p>
    <w:p w:rsidR="004900AF" w:rsidRDefault="006338AD" w:rsidP="00A601EA">
      <w:pPr>
        <w:numPr>
          <w:ilvl w:val="0"/>
          <w:numId w:val="1"/>
        </w:numPr>
        <w:tabs>
          <w:tab w:val="clear" w:pos="720"/>
          <w:tab w:val="num" w:pos="378"/>
        </w:tabs>
        <w:spacing w:line="276" w:lineRule="auto"/>
        <w:ind w:left="392" w:hanging="406"/>
        <w:rPr>
          <w:rFonts w:ascii="Arial" w:hAnsi="Arial" w:cs="Arial"/>
          <w:sz w:val="20"/>
        </w:rPr>
      </w:pPr>
      <w:r>
        <w:rPr>
          <w:rFonts w:ascii="Arial" w:hAnsi="Arial" w:cs="Arial"/>
          <w:sz w:val="20"/>
        </w:rPr>
        <w:t>others…</w:t>
      </w:r>
      <w:r w:rsidR="004900AF">
        <w:rPr>
          <w:rFonts w:ascii="Arial" w:hAnsi="Arial" w:cs="Arial"/>
          <w:sz w:val="20"/>
        </w:rPr>
        <w:t>.</w:t>
      </w:r>
    </w:p>
    <w:p w:rsidR="004900AF" w:rsidRDefault="004900AF" w:rsidP="00A601EA">
      <w:pPr>
        <w:ind w:left="-14"/>
        <w:rPr>
          <w:rFonts w:ascii="Arial" w:hAnsi="Arial" w:cs="Arial"/>
          <w:sz w:val="20"/>
        </w:rPr>
      </w:pPr>
      <w:bookmarkStart w:id="0" w:name="_GoBack"/>
      <w:bookmarkEnd w:id="0"/>
    </w:p>
    <w:sectPr w:rsidR="004900AF">
      <w:pgSz w:w="11906" w:h="16838"/>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905CE"/>
    <w:multiLevelType w:val="hybridMultilevel"/>
    <w:tmpl w:val="7C82195A"/>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460"/>
    <w:rsid w:val="00060533"/>
    <w:rsid w:val="004900AF"/>
    <w:rsid w:val="00514F19"/>
    <w:rsid w:val="005E1E98"/>
    <w:rsid w:val="006338AD"/>
    <w:rsid w:val="007D1A38"/>
    <w:rsid w:val="00A51152"/>
    <w:rsid w:val="00A601EA"/>
    <w:rsid w:val="00C53062"/>
    <w:rsid w:val="00D07EB6"/>
    <w:rsid w:val="00E07460"/>
    <w:rsid w:val="00FB6A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C45A3"/>
  <w15:docId w15:val="{72F281F6-5AED-471D-9838-6527279E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320" w:lineRule="exact"/>
      <w:jc w:val="center"/>
    </w:pPr>
    <w:rPr>
      <w:b/>
      <w:sz w:val="28"/>
    </w:rPr>
  </w:style>
  <w:style w:type="character" w:styleId="Hyperlink">
    <w:name w:val="Hyperlink"/>
    <w:basedOn w:val="DefaultParagraphFont"/>
    <w:rsid w:val="00514F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ybmrs.be"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Liquid-solid interface characterization of organometals grafted to cross-linked polymers using high-resolution Magic Angle Spi</vt:lpstr>
    </vt:vector>
  </TitlesOfParts>
  <Company>Organische Chemie</Company>
  <LinksUpToDate>false</LinksUpToDate>
  <CharactersWithSpaces>4383</CharactersWithSpaces>
  <SharedDoc>false</SharedDoc>
  <HLinks>
    <vt:vector size="6" baseType="variant">
      <vt:variant>
        <vt:i4>196669</vt:i4>
      </vt:variant>
      <vt:variant>
        <vt:i4>0</vt:i4>
      </vt:variant>
      <vt:variant>
        <vt:i4>0</vt:i4>
      </vt:variant>
      <vt:variant>
        <vt:i4>5</vt:i4>
      </vt:variant>
      <vt:variant>
        <vt:lpwstr>mailto:ybmrs@ugent.be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Liquid-solid interface characterization of organometals grafted to cross-linked polymers using high-resolution Magic Angle Spi</dc:title>
  <dc:creator>Prof. Jose C. Martins</dc:creator>
  <cp:lastModifiedBy>Gert Steurs</cp:lastModifiedBy>
  <cp:revision>2</cp:revision>
  <cp:lastPrinted>2003-10-21T10:39:00Z</cp:lastPrinted>
  <dcterms:created xsi:type="dcterms:W3CDTF">2021-06-12T19:29:00Z</dcterms:created>
  <dcterms:modified xsi:type="dcterms:W3CDTF">2021-06-12T19:29:00Z</dcterms:modified>
</cp:coreProperties>
</file>